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Urban Bowl Trimmer 16″, mechanický střihač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500,-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500,- 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Týdenní půjčovné je ve výši 1.750,-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Vratná kauce ve výši 3.000,-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1R3OJMpisFQsVo7xqkmpiQHig==">AMUW2mUA42iDfIjMUMuy7aprJtj076ax6ZsCo/Dz0BeDjWEEGWRa3hpku/w93gytTQJTL18MNQt29sLnlgg+MvQJWgvETnuktFP/m/8mE08148mj0Cx3zAQ=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