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Qnubu Rosin Press hydraulický lis 20 tun, lisovací plocha 12x12 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lisovací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color w:val="666666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666666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highlight w:val="white"/>
          <w:rtl w:val="0"/>
        </w:rPr>
        <w:t xml:space="preserve">Na Hůrce 1077/4</w:t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1000,- za každý den prodlení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Denní půjčovné je ve výši 1000,- Kč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 Týdenní půjčovné je ve výši 3.500,- Kč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Vratná kauce ve výši 27.000,- Kč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 Doba zápůjčky je domluvená do …..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8v2XNj1WsZtWyyktxf1CEzBtg==">AMUW2mXT9Fsz4k1m3h5U2hzVeDEG82sYrlam2guvqgJHHl6CWAigMbTku+hOi43RU9ODhjs3oIBj7CdAkHi+voeMA/k5uft0Ays7Ube2UGrb+/na8fm2Stk=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